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93c47d" w:space="0" w:sz="8" w:val="single"/>
              <w:left w:color="93c47d" w:space="0" w:sz="8" w:val="single"/>
              <w:bottom w:color="93c47d" w:space="0" w:sz="8" w:val="single"/>
              <w:right w:color="93c47d" w:space="0" w:sz="8" w:val="single"/>
            </w:tcBorders>
            <w:shd w:fill="d9ead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Teacher’s Notes:</w:t>
            </w:r>
          </w:p>
          <w:p w:rsidR="00000000" w:rsidDel="00000000" w:rsidP="00000000" w:rsidRDefault="00000000" w:rsidRPr="00000000">
            <w:pPr>
              <w:widowControl w:val="0"/>
              <w:spacing w:line="240" w:lineRule="auto"/>
              <w:contextualSpacing w:val="0"/>
            </w:pPr>
            <w:r w:rsidDel="00000000" w:rsidR="00000000" w:rsidRPr="00000000">
              <w:rPr>
                <w:rtl w:val="0"/>
              </w:rPr>
              <w:t xml:space="preserve">The following pages are for the audience when they are taking notes from other groups presenting. Though the use of these pages is optional, their formatting provides a comprehensive structure for students to follow.</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The main distinction between these sheets and the sheets for presentations in English is that there is additional space for students to write down any new vocabulary they have learnt from other group’s presenting.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Sufficient research and note-taking in this activity is essential for satisfactory completion of the Informal Debate and the Creative Writing tasks.</w:t>
            </w:r>
          </w:p>
        </w:tc>
      </w:tr>
    </w:tbl>
    <w:p w:rsidR="00000000" w:rsidDel="00000000" w:rsidP="00000000" w:rsidRDefault="00000000" w:rsidRPr="00000000">
      <w:pPr>
        <w:contextualSpacing w:val="0"/>
      </w:pPr>
      <w:r w:rsidDel="00000000" w:rsidR="00000000" w:rsidRPr="00000000">
        <w:rPr>
          <w:rtl w:val="0"/>
        </w:rPr>
      </w:r>
    </w:p>
    <w:tbl>
      <w:tblPr>
        <w:tblStyle w:val="Table2"/>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cccccc" w:space="0" w:sz="24" w:val="dotted"/>
              <w:left w:color="cccccc" w:space="0" w:sz="24" w:val="dotted"/>
              <w:bottom w:color="cccccc" w:space="0" w:sz="24" w:val="dotted"/>
              <w:right w:color="cccccc" w:space="0" w:sz="24"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Jigsaw Grouping: Research Presentation: Audience’s Notes</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b w:val="1"/>
                <w:color w:val="5b0f00"/>
                <w:sz w:val="24"/>
                <w:szCs w:val="24"/>
                <w:rtl w:val="0"/>
              </w:rPr>
              <w:t xml:space="preserve">小组活动：研讨报告：观众笔记</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As each group presents to the class, you, an audience member, must listen closely to what other groups say.</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每一个小组演讲的时候，你作为一个观众，必须仔细聆听他们演讲的内容。</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Pay attention to what each group says, and, in the pages below, write notes based on the information those presenting have given you.</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仔细聆听其他组的演讲，从他们演讲的内容中获得你所需要的信息，并完成以下表格。</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Group members:</w:t>
      </w:r>
    </w:p>
    <w:p w:rsidR="00000000" w:rsidDel="00000000" w:rsidP="00000000" w:rsidRDefault="00000000" w:rsidRPr="00000000">
      <w:pPr>
        <w:contextualSpacing w:val="0"/>
      </w:pPr>
      <w:r w:rsidDel="00000000" w:rsidR="00000000" w:rsidRPr="00000000">
        <w:rPr>
          <w:rFonts w:ascii="SimSun" w:cs="SimSun" w:eastAsia="SimSun" w:hAnsi="SimSun"/>
          <w:b w:val="1"/>
          <w:color w:val="cc0000"/>
          <w:rtl w:val="0"/>
        </w:rPr>
        <w:t xml:space="preserve">组员</w:t>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Research topic/ question:</w:t>
      </w:r>
    </w:p>
    <w:p w:rsidR="00000000" w:rsidDel="00000000" w:rsidP="00000000" w:rsidRDefault="00000000" w:rsidRPr="00000000">
      <w:pPr>
        <w:contextualSpacing w:val="0"/>
      </w:pPr>
      <w:r w:rsidDel="00000000" w:rsidR="00000000" w:rsidRPr="00000000">
        <w:rPr>
          <w:rFonts w:ascii="SimSun" w:cs="SimSun" w:eastAsia="SimSun" w:hAnsi="SimSun"/>
          <w:b w:val="1"/>
          <w:color w:val="cc0000"/>
          <w:rtl w:val="0"/>
        </w:rPr>
        <w:t xml:space="preserve">研究题目/问题</w:t>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New vocabulary</w:t>
      </w:r>
    </w:p>
    <w:tbl>
      <w:tblPr>
        <w:tblStyle w:val="Table3"/>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b w:val="1"/>
                <w:rtl w:val="0"/>
              </w:rPr>
              <w:t xml:space="preserve">Chinese 中文</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b w:val="1"/>
                <w:rtl w:val="0"/>
              </w:rPr>
              <w:t xml:space="preserve">English 英文</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Notes </w:t>
      </w:r>
      <w:r w:rsidDel="00000000" w:rsidR="00000000" w:rsidRPr="00000000">
        <w:rPr>
          <w:rFonts w:ascii="SimSun" w:cs="SimSun" w:eastAsia="SimSun" w:hAnsi="SimSun"/>
          <w:b w:val="1"/>
          <w:color w:val="cc0000"/>
          <w:rtl w:val="0"/>
        </w:rPr>
        <w:t xml:space="preserve">笔记</w:t>
      </w:r>
    </w:p>
    <w:tbl>
      <w:tblPr>
        <w:tblStyle w:val="Table4"/>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400" w:hRule="atLeast"/>
        </w:trP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b w:val="1"/>
                <w:rtl w:val="0"/>
              </w:rPr>
              <w:t xml:space="preserve">Fact 事实</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b w:val="1"/>
                <w:rtl w:val="0"/>
              </w:rPr>
              <w:t xml:space="preserve">My opinion 我的意见</w:t>
            </w:r>
          </w:p>
        </w:tc>
      </w:tr>
      <w:tr>
        <w:tc>
          <w:tcPr>
            <w:tcMar>
              <w:top w:w="100.0" w:type="dxa"/>
              <w:left w:w="100.0" w:type="dxa"/>
              <w:bottom w:w="100.0" w:type="dxa"/>
              <w:right w:w="100.0" w:type="dxa"/>
            </w:tcMar>
          </w:tcPr>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2"/>
              </w:numPr>
              <w:ind w:left="720" w:hanging="360"/>
              <w:contextualSpacing w:val="1"/>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2"/>
              </w:numPr>
              <w:ind w:left="720" w:hanging="360"/>
              <w:contextualSpacing w:val="1"/>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2"/>
              </w:numPr>
              <w:ind w:left="720" w:hanging="360"/>
              <w:contextualSpacing w:val="1"/>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2"/>
              </w:numPr>
              <w:ind w:left="720" w:hanging="360"/>
              <w:contextualSpacing w:val="1"/>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2"/>
              </w:numPr>
              <w:ind w:left="720" w:hanging="360"/>
              <w:contextualSpacing w:val="1"/>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2"/>
              </w:numPr>
              <w:ind w:left="720" w:hanging="360"/>
              <w:contextualSpacing w:val="1"/>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2"/>
              </w:numPr>
              <w:ind w:left="720" w:hanging="360"/>
              <w:contextualSpacing w:val="1"/>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2"/>
              </w:numPr>
              <w:ind w:left="720" w:hanging="360"/>
              <w:contextualSpacing w:val="1"/>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2"/>
              </w:numPr>
              <w:ind w:left="720" w:hanging="360"/>
              <w:contextualSpacing w:val="1"/>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2"/>
              </w:numPr>
              <w:ind w:left="720" w:hanging="360"/>
              <w:contextualSpacing w:val="1"/>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2"/>
              </w:numPr>
              <w:ind w:left="720" w:hanging="360"/>
              <w:contextualSpacing w:val="1"/>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Follow up questions:</w:t>
      </w:r>
    </w:p>
    <w:p w:rsidR="00000000" w:rsidDel="00000000" w:rsidP="00000000" w:rsidRDefault="00000000" w:rsidRPr="00000000">
      <w:pPr>
        <w:contextualSpacing w:val="0"/>
      </w:pPr>
      <w:r w:rsidDel="00000000" w:rsidR="00000000" w:rsidRPr="00000000">
        <w:rPr>
          <w:rFonts w:ascii="SimSun" w:cs="SimSun" w:eastAsia="SimSun" w:hAnsi="SimSun"/>
          <w:b w:val="1"/>
          <w:color w:val="cc0000"/>
          <w:rtl w:val="0"/>
        </w:rPr>
        <w:t xml:space="preserve">补充问题</w:t>
      </w:r>
    </w:p>
    <w:p w:rsidR="00000000" w:rsidDel="00000000" w:rsidP="00000000" w:rsidRDefault="00000000" w:rsidRPr="00000000">
      <w:pPr>
        <w:numPr>
          <w:ilvl w:val="0"/>
          <w:numId w:val="1"/>
        </w:numPr>
        <w:ind w:left="720" w:hanging="360"/>
        <w:contextualSpacing w:val="1"/>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1"/>
        </w:numPr>
        <w:ind w:left="720" w:hanging="360"/>
        <w:contextualSpacing w:val="1"/>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imSu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b w:val="1"/>
        <w:color w:val="ff0000"/>
        <w:rtl w:val="0"/>
      </w:rPr>
      <w:t xml:space="preserve">Learn Chinese Cultural Revolution</w:t>
    </w:r>
    <w:r w:rsidDel="00000000" w:rsidR="00000000" w:rsidRPr="00000000">
      <w:rPr>
        <w:rtl w:val="0"/>
      </w:rPr>
      <w:t xml:space="preserve">| ADDITIONAL ADVICE: Research Presentation: Audience Notes (Chinese presentations)</w:t>
    </w:r>
  </w: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color w:val="d9d9d9"/>
        <w:rtl w:val="0"/>
      </w:rPr>
      <w:t xml:space="preserve">Liam Perera, Bonnie Tynan &amp; Renee (Wanling) Zhong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